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2E" w:rsidRDefault="00B0462E">
      <w:pPr>
        <w:pStyle w:val="ConsPlusNormal"/>
        <w:jc w:val="right"/>
      </w:pPr>
    </w:p>
    <w:p w:rsidR="00B0462E" w:rsidRDefault="00512679">
      <w:pPr>
        <w:pStyle w:val="ConsPlusNormal"/>
        <w:jc w:val="both"/>
      </w:pPr>
      <w:r>
        <w:t xml:space="preserve"> </w:t>
      </w:r>
      <w:bookmarkStart w:id="0" w:name="_GoBack"/>
      <w:bookmarkEnd w:id="0"/>
    </w:p>
    <w:p w:rsidR="00B0462E" w:rsidRPr="00C84027" w:rsidRDefault="00B0462E" w:rsidP="0038140E">
      <w:pPr>
        <w:pStyle w:val="ConsPlusNormal"/>
        <w:ind w:left="7080"/>
        <w:outlineLvl w:val="1"/>
        <w:rPr>
          <w:rFonts w:ascii="Times New Roman" w:hAnsi="Times New Roman" w:cs="Times New Roman"/>
          <w:sz w:val="28"/>
          <w:szCs w:val="28"/>
        </w:rPr>
      </w:pPr>
      <w:r w:rsidRPr="00C840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C0217" w:rsidRPr="00C84027">
        <w:rPr>
          <w:rFonts w:ascii="Times New Roman" w:hAnsi="Times New Roman" w:cs="Times New Roman"/>
          <w:sz w:val="28"/>
          <w:szCs w:val="28"/>
        </w:rPr>
        <w:t>№</w:t>
      </w:r>
      <w:r w:rsidRPr="00C8402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0462E" w:rsidRPr="00F51D65" w:rsidRDefault="00B0462E" w:rsidP="0038140E">
      <w:pPr>
        <w:pStyle w:val="ConsPlusNormal"/>
        <w:ind w:left="7080"/>
        <w:rPr>
          <w:rFonts w:ascii="Times New Roman" w:hAnsi="Times New Roman" w:cs="Times New Roman"/>
          <w:sz w:val="24"/>
          <w:szCs w:val="24"/>
        </w:rPr>
      </w:pPr>
      <w:r w:rsidRPr="00C84027">
        <w:rPr>
          <w:rFonts w:ascii="Times New Roman" w:hAnsi="Times New Roman" w:cs="Times New Roman"/>
          <w:sz w:val="28"/>
          <w:szCs w:val="28"/>
        </w:rPr>
        <w:t>к Порядку</w:t>
      </w:r>
    </w:p>
    <w:p w:rsidR="00B0462E" w:rsidRDefault="00B0462E" w:rsidP="0038140E">
      <w:pPr>
        <w:pStyle w:val="ConsPlusNormal"/>
      </w:pPr>
    </w:p>
    <w:p w:rsidR="0038140E" w:rsidRDefault="003814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562"/>
      <w:bookmarkEnd w:id="1"/>
    </w:p>
    <w:p w:rsidR="00B0462E" w:rsidRPr="00B54031" w:rsidRDefault="00B0462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4031">
        <w:rPr>
          <w:rFonts w:ascii="Times New Roman" w:hAnsi="Times New Roman" w:cs="Times New Roman"/>
          <w:b w:val="0"/>
          <w:sz w:val="24"/>
          <w:szCs w:val="24"/>
        </w:rPr>
        <w:t>НАПРАВЛЕНИЯ</w:t>
      </w:r>
    </w:p>
    <w:p w:rsidR="00B0462E" w:rsidRPr="00B54031" w:rsidRDefault="00B0462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4031">
        <w:rPr>
          <w:rFonts w:ascii="Times New Roman" w:hAnsi="Times New Roman" w:cs="Times New Roman"/>
          <w:b w:val="0"/>
          <w:sz w:val="24"/>
          <w:szCs w:val="24"/>
        </w:rPr>
        <w:t>РАСХОДОВАНИЯ ЦЕЛЕВЫХ СРЕДСТВ</w:t>
      </w:r>
    </w:p>
    <w:p w:rsidR="00B0462E" w:rsidRPr="00B54031" w:rsidRDefault="00B0462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98"/>
        <w:gridCol w:w="737"/>
        <w:gridCol w:w="5669"/>
      </w:tblGrid>
      <w:tr w:rsidR="00B0462E">
        <w:tc>
          <w:tcPr>
            <w:tcW w:w="567" w:type="dxa"/>
            <w:vMerge w:val="restart"/>
          </w:tcPr>
          <w:p w:rsidR="00B0462E" w:rsidRPr="00CB7493" w:rsidRDefault="00CB7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№</w:t>
            </w:r>
            <w:r w:rsidR="00B0462E" w:rsidRPr="00CB749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835" w:type="dxa"/>
            <w:gridSpan w:val="2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Направление расходования целевых средств</w:t>
            </w:r>
          </w:p>
        </w:tc>
        <w:tc>
          <w:tcPr>
            <w:tcW w:w="5669" w:type="dxa"/>
            <w:vMerge w:val="restart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67"/>
            <w:bookmarkEnd w:id="2"/>
            <w:r w:rsidRPr="00CB7493">
              <w:rPr>
                <w:rFonts w:ascii="Times New Roman" w:hAnsi="Times New Roman" w:cs="Times New Roman"/>
              </w:rPr>
              <w:t>Наименование выплат, соответствующих направлениям расходования целевых средств</w:t>
            </w:r>
          </w:p>
        </w:tc>
      </w:tr>
      <w:tr w:rsidR="00B0462E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568"/>
            <w:bookmarkEnd w:id="3"/>
            <w:r w:rsidRPr="00CB74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669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4</w:t>
            </w:r>
          </w:p>
        </w:tc>
      </w:tr>
      <w:tr w:rsidR="00B0462E">
        <w:tc>
          <w:tcPr>
            <w:tcW w:w="567" w:type="dxa"/>
            <w:vMerge w:val="restart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Merge w:val="restart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персоналу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Заработная плата и удержания из заработной платы: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выплата заработной платы, осуществляемая на основе договоров (контрактов), в соответствии с трудовым законодательством лицам, участвующим в процессе поставки товаров, выполнения работ, оказания услуг;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выплата работодателем удержаний, производимых с заработной платы работников, участвующих в процессе поставки товаров, выполнения работ, оказания услуг (налог на доходы физических лиц, членские профсоюзные взносы, удержания по исполнительным документам, в том числе на оплату алиментов, и другие аналогичные выплаты);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налога на доходы физических лиц с выплат физическим лицам в связи с выполнением ими работ (оказанием ими услуг) на основании договоров гражданско-правового характера;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аналогичные выплаты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Выплаты, пособия и компенсации: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работодателя в пользу работников, не относящиеся к заработной плате, дополнительные выплаты, пособия и компенсации, обусловленные условиями трудовых отношений;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командировочные и иные выплаты в соответствии с трудовыми договорами и законодательством Российской Федерации, законодательством субъектов Российской Федерации (в том числе компенсация найма (поднайма) жилых помещений, за использование личного транспорта для служебных целей, пособия по временной нетрудоспособности);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аналогичные выплаты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Начисления на выплаты по оплате труда: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уплата как в составе единого налогового платежа, так и по отдельности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а также уплата страховых взносов от несчастных случаев на производстве и профессиональных </w:t>
            </w:r>
            <w:r w:rsidRPr="00CB7493">
              <w:rPr>
                <w:rFonts w:ascii="Times New Roman" w:hAnsi="Times New Roman" w:cs="Times New Roman"/>
              </w:rPr>
              <w:lastRenderedPageBreak/>
              <w:t>заболеваний, относящихся к оплате труда персонала, участвующего в процессе производства товаров, выполнения работ, оказания услуг, в том числе с выплат физическим лицам в связи с выполнением ими работ (оказанием ими услуг) на основании договоров гражданско-правового характера;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начисления на выплаты по оплате труда</w:t>
            </w:r>
          </w:p>
        </w:tc>
      </w:tr>
      <w:tr w:rsidR="00B0462E" w:rsidRPr="00CB7493">
        <w:tc>
          <w:tcPr>
            <w:tcW w:w="567" w:type="dxa"/>
            <w:vMerge w:val="restart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098" w:type="dxa"/>
            <w:vMerge w:val="restart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Закупка работ и услуг </w:t>
            </w:r>
            <w:hyperlink w:anchor="P735">
              <w:r w:rsidRPr="00CB7493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  <w:r w:rsidRPr="00CB7493">
              <w:rPr>
                <w:rFonts w:ascii="Times New Roman" w:hAnsi="Times New Roman" w:cs="Times New Roman"/>
              </w:rPr>
              <w:t xml:space="preserve"> (за исключением выплат на капитальные вложения), в том числе на основании договора гражданско-правового характера, исполнителем по которому является физическое лицо или индивидуальный предприниматель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приобретение услуг связи: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почтовой связи, в том числе подписка на периодические издания;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фельдъегерской и специальной связи;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услуги телефонно-телеграфной, факсимильной, сотовой, пейджинговой связи, радиосвязи, </w:t>
            </w:r>
            <w:proofErr w:type="spellStart"/>
            <w:r w:rsidRPr="00CB7493">
              <w:rPr>
                <w:rFonts w:ascii="Times New Roman" w:hAnsi="Times New Roman" w:cs="Times New Roman"/>
              </w:rPr>
              <w:t>интернет-провайдеров</w:t>
            </w:r>
            <w:proofErr w:type="spellEnd"/>
            <w:r w:rsidRPr="00CB7493">
              <w:rPr>
                <w:rFonts w:ascii="Times New Roman" w:hAnsi="Times New Roman" w:cs="Times New Roman"/>
              </w:rPr>
              <w:t>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аналогичные выплаты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приобретение транспортных услуг, в том числе: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провозная плата по контрактам (договорам) перевозки пассажиров и багажа;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плата за перевозку (доставку) грузов (отправлений) по контрактам (договорам) перевозки (доставки, фрахтования);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аналогичные выплаты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приобретение коммунальных услуг для нужд получателя целевых средств: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оплата услуг отопления, горячего и холодного водоснабжения, предоставления газа и электроэнергии;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выплаты по оплате коммунальных услуг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оплате арендной платы в соответствии с заключенными контрактами (договорами) аренды, в том числе финансовой аренды (лизинга) имущественного найма объектов основных средств, связанных непосредственно с поставкой товаров, выполнением работ, оказанием услуг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оплате контрактов (договоров) на выполнение работ, оказание услуг, связанных с содержанием, эксплуатацией, обслуживанием, ремонтом (текущим и капитальным) зданий, помещений, основных средств, связанных непосредственно с поставкой товаров, выполнением работ, оказанием услуг, в том числе: содержание нефинансовых активов в чистоте; ремонт (текущий и капитальный) и реставрация нефинансовых активов;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противопожарные мероприятия, связанные с содержанием имущества;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работы по переносу (переустройству, присоединению) принадлежащих юридическим лицам инженерных сетей, коммуникаций, сооружений в соответствии с законодательством Российской Федерации о градостроительной деятельности;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аналогичные выплаты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2060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Выплаты на оказание услуг в области информационных </w:t>
            </w:r>
            <w:r w:rsidRPr="00CB7493">
              <w:rPr>
                <w:rFonts w:ascii="Times New Roman" w:hAnsi="Times New Roman" w:cs="Times New Roman"/>
              </w:rPr>
              <w:lastRenderedPageBreak/>
              <w:t>технологий, непосредственно связанные с поставкой товаров, выполнением работ, оказанием услуг, в том числе: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обеспечение безопасности информации и </w:t>
            </w:r>
            <w:proofErr w:type="spellStart"/>
            <w:r w:rsidRPr="00CB7493">
              <w:rPr>
                <w:rFonts w:ascii="Times New Roman" w:hAnsi="Times New Roman" w:cs="Times New Roman"/>
              </w:rPr>
              <w:t>режимно-секретных</w:t>
            </w:r>
            <w:proofErr w:type="spellEnd"/>
            <w:r w:rsidRPr="00CB7493"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приобретение неисключительных (пользовательских), лицензионных прав на программное обеспечение;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приобретение и обновление справочно-информационных баз данных; другие аналогичные выплаты, связанные с оказанием услуг в области информационных технологий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2070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выполнение работ, оказание услуг, не отнесенных к направлениям расходования целевых средств по кодам 2010 - 2060, в том числе: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научно-исследовательские, опытно-конструкторские, опытно-технологические, </w:t>
            </w:r>
            <w:proofErr w:type="gramStart"/>
            <w:r w:rsidRPr="00CB7493">
              <w:rPr>
                <w:rFonts w:ascii="Times New Roman" w:hAnsi="Times New Roman" w:cs="Times New Roman"/>
              </w:rPr>
              <w:t>геолого-разведочные</w:t>
            </w:r>
            <w:proofErr w:type="gramEnd"/>
            <w:r w:rsidRPr="00CB7493">
              <w:rPr>
                <w:rFonts w:ascii="Times New Roman" w:hAnsi="Times New Roman" w:cs="Times New Roman"/>
              </w:rPr>
              <w:t xml:space="preserve"> работы, услуги по типовому проектированию, проектные и изыскательские работы;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монтажные работы;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по страхованию имущества, гражданской ответственности и здоровья;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по формированию корпоративного имиджа;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по проведению маркетинговых исследований;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по предоставлению выписок из государственных реестров;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рекламного характера (в том числе размещение объявлений в средствах массовой информации);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агентов по операциям с государственными (муниципальными) активами и обязательствами; оплата юридических и адвокатских услуг;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услуги по обеспечению исполнения гарантийных обязательств (в том числе по взысканию задолженности по выданным гарантиям);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другие аналогичные выплаты, связанные с закупкой товаров, работ, услуг</w:t>
            </w:r>
          </w:p>
        </w:tc>
      </w:tr>
      <w:tr w:rsidR="00B0462E" w:rsidRPr="00CB7493">
        <w:tc>
          <w:tcPr>
            <w:tcW w:w="567" w:type="dxa"/>
            <w:vMerge w:val="restart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Merge w:val="restart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Закупка непроизведенных активов, нематериальных активов, материальных запасов и основных средств и прочих активов (за исключением выплат на капитальные вложения), в том числе на основании договора гражданско-правового характера, исполнителем по которому является </w:t>
            </w:r>
            <w:r w:rsidRPr="00CB7493">
              <w:rPr>
                <w:rFonts w:ascii="Times New Roman" w:hAnsi="Times New Roman" w:cs="Times New Roman"/>
              </w:rPr>
              <w:lastRenderedPageBreak/>
              <w:t>физическое лицо или индивидуальный предприниматель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lastRenderedPageBreak/>
              <w:t>3010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увеличение стоимости нематериальных активов: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оплате контрактов (договоров) на приобретение исключительных прав на результаты интеллектуальной деятельности или средства индивидуализации, в том числе: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 программное обеспечение и базы данных для электронных вычислительных машин;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 товарные знаки и знаки обслуживания;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 "ноу-хау" и объекты смежных прав;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 научные разработки и изобретения, промышленные образцы и полезные модели;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затраты на специальную технологическую оснастку;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иные выплаты, относящиеся к увеличению стоимости нематериальных активов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3020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увеличение стоимости материальных запасов: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оплате контрактов (договоров) на приобретение (изготовление) объектов, относящихся к материальным запасам: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сырье и (или) основные материалы;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lastRenderedPageBreak/>
              <w:t>вспомогательные материалы; покупные полуфабрикаты; покупные комплектующие изделия; тара и упаковка; затраты на подготовку и освоение производства; затраты на изделия собственного производства; специальные затраты;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топливо на технологические цели; запасные части;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материалы, переданные в переработку на сторону;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строительные материалы, мягкий инвентарь, продукты питания, прочие материальные затраты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3030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увеличение стоимости основных средств: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здания и сооружения;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машины и оборудование;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транспортные средства;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информационное, компьютерное и телекоммуникационное (ИКТ) оборудование;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производственный и продуктивный, племенной и рабочий скот;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инвентарь и хозяйственные принадлежности;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иные выплаты, относящиеся к увеличению стоимости основных средств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3040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на увеличение стоимости непроизведенных активов, права собственности на которые должны быть установлены и законодательно закреплены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неинвентарного характера (не связанные с бюджетными инвестициями в объекты капитального строительства) на культурно-технические мероприятия по поверхностному улучшению земель для сельскохозяйственного пользования, производимые за счет капитальных вложений (планировка земельных участков, корчевка площадей под пашню, очистка полей от камней и валунов, срезание кочек, расчистка зарослей, очистка водоемов, мелиоративные, осушительные, ирригационные и другие работы, которые неотделимы от земли), за исключением зданий и сооружений, построенных на этой земле (например, дорог, тоннелей, административных зданий), насаждений, подземных водных или биологических ресурсов.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Иные выплаты, относящиеся к увеличению стоимости непроизведенных активов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оплате контрактов, договоров на строительство (реконструкцию, в том числе с элементами реставрации, технического перевооружения) объектов капитального строительства или приобретения объектов недвижимого имущества, в том числе: строительные работы; монтажные работы; строительно-монтажные работы; услуги по типовому проектированию, проектные и изыскательские работы; оборудование; инструменты и инвентарь; строительные материалы; прочие работы и затраты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Выбытие со счетов авансовых платежей по контрактам </w:t>
            </w:r>
            <w:r w:rsidRPr="00CB7493">
              <w:rPr>
                <w:rFonts w:ascii="Times New Roman" w:hAnsi="Times New Roman" w:cs="Times New Roman"/>
              </w:rPr>
              <w:lastRenderedPageBreak/>
              <w:t xml:space="preserve">(договорам) </w:t>
            </w:r>
            <w:hyperlink w:anchor="P736">
              <w:r w:rsidRPr="00F12866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lastRenderedPageBreak/>
              <w:t>5100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Выплаты по перечислению авансовых платежей по контрактам (договорам), в том числе на оказание услуг; выполнение работ; материальные затраты (сырье, </w:t>
            </w:r>
            <w:r w:rsidRPr="00CB7493">
              <w:rPr>
                <w:rFonts w:ascii="Times New Roman" w:hAnsi="Times New Roman" w:cs="Times New Roman"/>
              </w:rPr>
              <w:lastRenderedPageBreak/>
              <w:t>материалы, оборудование, инвентарь и т.д.)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098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Оплата фактически поставленных товаров, выполненных работ, оказанных услуг по </w:t>
            </w:r>
            <w:r w:rsidR="00F12866">
              <w:rPr>
                <w:rFonts w:ascii="Times New Roman" w:hAnsi="Times New Roman" w:cs="Times New Roman"/>
              </w:rPr>
              <w:t xml:space="preserve">муниципальным </w:t>
            </w:r>
            <w:r w:rsidRPr="00CB7493">
              <w:rPr>
                <w:rFonts w:ascii="Times New Roman" w:hAnsi="Times New Roman" w:cs="Times New Roman"/>
              </w:rPr>
              <w:t>контрактам, контрактам (договорам), договорам (соглашениям)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5669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Оплата фактически поставленных товаров, выполненных работ, оказанных услуг по </w:t>
            </w:r>
            <w:r w:rsidR="00F12866">
              <w:rPr>
                <w:rFonts w:ascii="Times New Roman" w:hAnsi="Times New Roman" w:cs="Times New Roman"/>
              </w:rPr>
              <w:t>муниципальным</w:t>
            </w:r>
            <w:r w:rsidRPr="00CB7493">
              <w:rPr>
                <w:rFonts w:ascii="Times New Roman" w:hAnsi="Times New Roman" w:cs="Times New Roman"/>
              </w:rPr>
              <w:t xml:space="preserve"> контрактам, контрактам (договорам), договорам (соглашениям)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6100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 (за исключением НДС, налога на доходы физических лиц) как в составе единого налогового платежа, так и по отдельности: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налог на прибыль; земельный налог;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государственная пошлина и сборы, включая государственную пошлину за совершение действий, связанных с лицензированием;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иных платежей в бюджеты бюджетной системы Российской Федерации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Налог на добавленную стоимость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6110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налога на добавленную стоимость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Иные выплаты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6120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Иные выплаты, не отнесенные к направлениям расходования целевых средств по кодам 1010 - 6110</w:t>
            </w:r>
          </w:p>
        </w:tc>
      </w:tr>
      <w:tr w:rsidR="00B0462E" w:rsidRPr="00CB7493">
        <w:tc>
          <w:tcPr>
            <w:tcW w:w="567" w:type="dxa"/>
            <w:vMerge w:val="restart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Merge w:val="restart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Накладные расходы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7010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Общепроизводственные затраты: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оплата труда персонала, связанного с управлением и обслуживанием производства;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оплата работ и (или) услуг, выполняемых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единого налогового платежа;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прочие затраты общепроизводственного назначения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7020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Общехозяйственные затраты: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работы и (или) услуги, выполняемые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единого налогового платежа;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затраты на консультационные услуги;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затраты на содержание и ремонт зданий, сооружений, инвентаря и иного имущества общехозяйственного назначения;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арендная плата за помещения общехозяйственного назначения;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расходы по обслуживанию транспортных средств; расходы на услуги связи;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lastRenderedPageBreak/>
              <w:t xml:space="preserve">коммунальные услуги, получение которых связано с выполнением </w:t>
            </w:r>
            <w:r w:rsidR="00F12866">
              <w:rPr>
                <w:rFonts w:ascii="Times New Roman" w:hAnsi="Times New Roman" w:cs="Times New Roman"/>
              </w:rPr>
              <w:t>муниципального</w:t>
            </w:r>
            <w:r w:rsidRPr="00CB7493">
              <w:rPr>
                <w:rFonts w:ascii="Times New Roman" w:hAnsi="Times New Roman" w:cs="Times New Roman"/>
              </w:rPr>
              <w:t xml:space="preserve"> контракта, контракта (договора), договора (соглашения);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прочие затраты общехозяйственного назначения</w:t>
            </w:r>
          </w:p>
        </w:tc>
      </w:tr>
      <w:tr w:rsidR="00B0462E" w:rsidRPr="00CB7493">
        <w:tc>
          <w:tcPr>
            <w:tcW w:w="567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7030</w:t>
            </w:r>
          </w:p>
        </w:tc>
        <w:tc>
          <w:tcPr>
            <w:tcW w:w="5669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Административно-управленческие расходы: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работы и (или) услуги, выполняемые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оплата труда административно-управленческого персонала;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уплата единого налогового платежа;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обучение административно-управленческого персонала;</w:t>
            </w:r>
          </w:p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прочие непроизводственные расходы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Выплата прибыли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5669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Выплата прибыли, осуществляемая после исполнения участником казначейского сопровождения всех обязательств (части обязательств) по </w:t>
            </w:r>
            <w:r w:rsidR="00F12866">
              <w:rPr>
                <w:rFonts w:ascii="Times New Roman" w:hAnsi="Times New Roman" w:cs="Times New Roman"/>
              </w:rPr>
              <w:t>муниципальному</w:t>
            </w:r>
            <w:r w:rsidRPr="00CB7493">
              <w:rPr>
                <w:rFonts w:ascii="Times New Roman" w:hAnsi="Times New Roman" w:cs="Times New Roman"/>
              </w:rPr>
              <w:t xml:space="preserve"> контракту, контракту (договору) (этапу </w:t>
            </w:r>
            <w:r w:rsidR="00F12866">
              <w:rPr>
                <w:rFonts w:ascii="Times New Roman" w:hAnsi="Times New Roman" w:cs="Times New Roman"/>
              </w:rPr>
              <w:t>муниципального</w:t>
            </w:r>
            <w:r w:rsidRPr="00CB7493">
              <w:rPr>
                <w:rFonts w:ascii="Times New Roman" w:hAnsi="Times New Roman" w:cs="Times New Roman"/>
              </w:rPr>
              <w:t xml:space="preserve"> контракта, контракта (договора)) ((в случае если это предусмотрено условиями </w:t>
            </w:r>
            <w:r w:rsidR="00F12866">
              <w:rPr>
                <w:rFonts w:ascii="Times New Roman" w:hAnsi="Times New Roman" w:cs="Times New Roman"/>
              </w:rPr>
              <w:t>муниципального</w:t>
            </w:r>
            <w:r w:rsidRPr="00CB7493">
              <w:rPr>
                <w:rFonts w:ascii="Times New Roman" w:hAnsi="Times New Roman" w:cs="Times New Roman"/>
              </w:rPr>
              <w:t xml:space="preserve"> контракта, контракта (договора) и при предоставлении участником казначейского сопровождения документов-оснований)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8" w:type="dxa"/>
          </w:tcPr>
          <w:p w:rsidR="00B0462E" w:rsidRPr="00CB749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окончательным расчетам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5669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Выплаты по окончательным расчетам, осуществляемые после исполнения участником казначейского сопровождения всех обязательств по </w:t>
            </w:r>
            <w:r w:rsidR="00F12866">
              <w:rPr>
                <w:rFonts w:ascii="Times New Roman" w:hAnsi="Times New Roman" w:cs="Times New Roman"/>
              </w:rPr>
              <w:t>муниципальному</w:t>
            </w:r>
            <w:r w:rsidRPr="00CB7493">
              <w:rPr>
                <w:rFonts w:ascii="Times New Roman" w:hAnsi="Times New Roman" w:cs="Times New Roman"/>
              </w:rPr>
              <w:t xml:space="preserve"> контракту, контракту (договору), договору (соглашению), за исключением стоимости фактически поставленных товаров, выполненных работ, оказанных услуг и выплаты прибыли в размере, определенном условиями </w:t>
            </w:r>
            <w:r w:rsidR="00F12866">
              <w:rPr>
                <w:rFonts w:ascii="Times New Roman" w:hAnsi="Times New Roman" w:cs="Times New Roman"/>
              </w:rPr>
              <w:t>муниципального</w:t>
            </w:r>
            <w:r w:rsidRPr="00CB7493">
              <w:rPr>
                <w:rFonts w:ascii="Times New Roman" w:hAnsi="Times New Roman" w:cs="Times New Roman"/>
              </w:rPr>
              <w:t xml:space="preserve"> контракта, контракта (договора)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8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Выплаты по перечислению остатков целевых сре</w:t>
            </w:r>
            <w:proofErr w:type="gramStart"/>
            <w:r w:rsidRPr="00CB7493">
              <w:rPr>
                <w:rFonts w:ascii="Times New Roman" w:hAnsi="Times New Roman" w:cs="Times New Roman"/>
              </w:rPr>
              <w:t>дств в д</w:t>
            </w:r>
            <w:proofErr w:type="gramEnd"/>
            <w:r w:rsidRPr="00CB7493">
              <w:rPr>
                <w:rFonts w:ascii="Times New Roman" w:hAnsi="Times New Roman" w:cs="Times New Roman"/>
              </w:rPr>
              <w:t xml:space="preserve">оход </w:t>
            </w:r>
            <w:r w:rsidR="00F12866">
              <w:rPr>
                <w:rFonts w:ascii="Times New Roman" w:hAnsi="Times New Roman" w:cs="Times New Roman"/>
              </w:rPr>
              <w:t>районного</w:t>
            </w:r>
            <w:r w:rsidRPr="00CB749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8300</w:t>
            </w:r>
          </w:p>
        </w:tc>
        <w:tc>
          <w:tcPr>
            <w:tcW w:w="5669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Выплаты по перечислению в доход </w:t>
            </w:r>
            <w:r w:rsidR="00F12866">
              <w:rPr>
                <w:rFonts w:ascii="Times New Roman" w:hAnsi="Times New Roman" w:cs="Times New Roman"/>
              </w:rPr>
              <w:t>районного</w:t>
            </w:r>
            <w:r w:rsidRPr="00CB7493">
              <w:rPr>
                <w:rFonts w:ascii="Times New Roman" w:hAnsi="Times New Roman" w:cs="Times New Roman"/>
              </w:rPr>
              <w:t xml:space="preserve"> бюджета не использованных по состоянию на 1 января текущего года остатков целевых средств, потребность в использовании которых не подтверждена</w:t>
            </w:r>
          </w:p>
        </w:tc>
      </w:tr>
      <w:tr w:rsidR="00B0462E" w:rsidRPr="00CB7493">
        <w:tc>
          <w:tcPr>
            <w:tcW w:w="56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8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Выплаты по перечислению дебиторской задолженности в доход </w:t>
            </w:r>
            <w:r w:rsidR="00F12866">
              <w:rPr>
                <w:rFonts w:ascii="Times New Roman" w:hAnsi="Times New Roman" w:cs="Times New Roman"/>
              </w:rPr>
              <w:t>районного</w:t>
            </w:r>
            <w:r w:rsidRPr="00CB749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737" w:type="dxa"/>
          </w:tcPr>
          <w:p w:rsidR="00B0462E" w:rsidRPr="00CB7493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>8400</w:t>
            </w:r>
          </w:p>
        </w:tc>
        <w:tc>
          <w:tcPr>
            <w:tcW w:w="5669" w:type="dxa"/>
          </w:tcPr>
          <w:p w:rsidR="00B0462E" w:rsidRPr="00CB7493" w:rsidRDefault="00B0462E" w:rsidP="00F12866">
            <w:pPr>
              <w:pStyle w:val="ConsPlusNormal"/>
              <w:rPr>
                <w:rFonts w:ascii="Times New Roman" w:hAnsi="Times New Roman" w:cs="Times New Roman"/>
              </w:rPr>
            </w:pPr>
            <w:r w:rsidRPr="00CB7493">
              <w:rPr>
                <w:rFonts w:ascii="Times New Roman" w:hAnsi="Times New Roman" w:cs="Times New Roman"/>
              </w:rPr>
              <w:t xml:space="preserve">Выплаты по перечислению в доход </w:t>
            </w:r>
            <w:r w:rsidR="00F12866">
              <w:rPr>
                <w:rFonts w:ascii="Times New Roman" w:hAnsi="Times New Roman" w:cs="Times New Roman"/>
              </w:rPr>
              <w:t>районного</w:t>
            </w:r>
            <w:r w:rsidRPr="00CB7493">
              <w:rPr>
                <w:rFonts w:ascii="Times New Roman" w:hAnsi="Times New Roman" w:cs="Times New Roman"/>
              </w:rPr>
              <w:t xml:space="preserve"> бюджета сумм от возврата дебиторской задолженности, не разрешенных к использованию</w:t>
            </w:r>
          </w:p>
        </w:tc>
      </w:tr>
    </w:tbl>
    <w:p w:rsidR="00B0462E" w:rsidRPr="00CB7493" w:rsidRDefault="00B0462E">
      <w:pPr>
        <w:pStyle w:val="ConsPlusNormal"/>
        <w:jc w:val="both"/>
        <w:rPr>
          <w:rFonts w:ascii="Times New Roman" w:hAnsi="Times New Roman" w:cs="Times New Roman"/>
        </w:rPr>
      </w:pPr>
    </w:p>
    <w:p w:rsidR="00B0462E" w:rsidRPr="00CB7493" w:rsidRDefault="00B0462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7493">
        <w:rPr>
          <w:rFonts w:ascii="Times New Roman" w:hAnsi="Times New Roman" w:cs="Times New Roman"/>
        </w:rPr>
        <w:t>--------------------------------</w:t>
      </w:r>
    </w:p>
    <w:p w:rsidR="00B0462E" w:rsidRPr="00CB7493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735"/>
      <w:bookmarkEnd w:id="4"/>
      <w:r w:rsidRPr="00CB7493">
        <w:rPr>
          <w:rFonts w:ascii="Times New Roman" w:hAnsi="Times New Roman" w:cs="Times New Roman"/>
        </w:rPr>
        <w:t xml:space="preserve">&lt;1&gt; Включая перечисление средств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</w:t>
      </w:r>
      <w:r w:rsidRPr="00CB7493">
        <w:rPr>
          <w:rFonts w:ascii="Times New Roman" w:hAnsi="Times New Roman" w:cs="Times New Roman"/>
        </w:rPr>
        <w:lastRenderedPageBreak/>
        <w:t>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агентами.</w:t>
      </w:r>
    </w:p>
    <w:p w:rsidR="00B0462E" w:rsidRPr="00CB7493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736"/>
      <w:bookmarkEnd w:id="5"/>
      <w:r w:rsidRPr="00CB7493">
        <w:rPr>
          <w:rFonts w:ascii="Times New Roman" w:hAnsi="Times New Roman" w:cs="Times New Roman"/>
        </w:rPr>
        <w:t>&lt;2&gt; За исключением перечисления авансовых платежей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агентами.</w:t>
      </w: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3DA5" w:rsidRDefault="00613DA5"/>
    <w:sectPr w:rsidR="00613DA5" w:rsidSect="0038140E">
      <w:headerReference w:type="default" r:id="rId6"/>
      <w:headerReference w:type="first" r:id="rId7"/>
      <w:pgSz w:w="11905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40E" w:rsidRDefault="0038140E" w:rsidP="0038140E">
      <w:pPr>
        <w:spacing w:after="0" w:line="240" w:lineRule="auto"/>
      </w:pPr>
      <w:r>
        <w:separator/>
      </w:r>
    </w:p>
  </w:endnote>
  <w:endnote w:type="continuationSeparator" w:id="0">
    <w:p w:rsidR="0038140E" w:rsidRDefault="0038140E" w:rsidP="00381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40E" w:rsidRDefault="0038140E" w:rsidP="0038140E">
      <w:pPr>
        <w:spacing w:after="0" w:line="240" w:lineRule="auto"/>
      </w:pPr>
      <w:r>
        <w:separator/>
      </w:r>
    </w:p>
  </w:footnote>
  <w:footnote w:type="continuationSeparator" w:id="0">
    <w:p w:rsidR="0038140E" w:rsidRDefault="0038140E" w:rsidP="00381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3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140E" w:rsidRDefault="0038140E">
        <w:pPr>
          <w:pStyle w:val="a5"/>
          <w:jc w:val="center"/>
        </w:pPr>
      </w:p>
      <w:p w:rsidR="0038140E" w:rsidRPr="0038140E" w:rsidRDefault="0038140E">
        <w:pPr>
          <w:pStyle w:val="a5"/>
          <w:jc w:val="center"/>
          <w:rPr>
            <w:rFonts w:ascii="Times New Roman" w:hAnsi="Times New Roman" w:cs="Times New Roman"/>
          </w:rPr>
        </w:pPr>
        <w:r w:rsidRPr="0038140E">
          <w:rPr>
            <w:rFonts w:ascii="Times New Roman" w:hAnsi="Times New Roman" w:cs="Times New Roman"/>
          </w:rPr>
          <w:fldChar w:fldCharType="begin"/>
        </w:r>
        <w:r w:rsidRPr="0038140E">
          <w:rPr>
            <w:rFonts w:ascii="Times New Roman" w:hAnsi="Times New Roman" w:cs="Times New Roman"/>
          </w:rPr>
          <w:instrText xml:space="preserve"> PAGE   \* MERGEFORMAT </w:instrText>
        </w:r>
        <w:r w:rsidRPr="0038140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38140E">
          <w:rPr>
            <w:rFonts w:ascii="Times New Roman" w:hAnsi="Times New Roman" w:cs="Times New Roman"/>
          </w:rPr>
          <w:fldChar w:fldCharType="end"/>
        </w:r>
      </w:p>
    </w:sdtContent>
  </w:sdt>
  <w:p w:rsidR="0038140E" w:rsidRDefault="0038140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40E" w:rsidRDefault="0038140E">
    <w:pPr>
      <w:pStyle w:val="a5"/>
      <w:jc w:val="center"/>
    </w:pPr>
  </w:p>
  <w:p w:rsidR="0038140E" w:rsidRDefault="0038140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62E"/>
    <w:rsid w:val="000935DB"/>
    <w:rsid w:val="00140AEF"/>
    <w:rsid w:val="001E09EB"/>
    <w:rsid w:val="001E571E"/>
    <w:rsid w:val="0020216F"/>
    <w:rsid w:val="002A66DC"/>
    <w:rsid w:val="00300639"/>
    <w:rsid w:val="0038140E"/>
    <w:rsid w:val="004030C2"/>
    <w:rsid w:val="00415D39"/>
    <w:rsid w:val="00434EC3"/>
    <w:rsid w:val="004C0394"/>
    <w:rsid w:val="004C2226"/>
    <w:rsid w:val="00512679"/>
    <w:rsid w:val="00562C94"/>
    <w:rsid w:val="00603365"/>
    <w:rsid w:val="00613DA5"/>
    <w:rsid w:val="0061590E"/>
    <w:rsid w:val="006B2AFD"/>
    <w:rsid w:val="007C215E"/>
    <w:rsid w:val="00843A5E"/>
    <w:rsid w:val="008603BF"/>
    <w:rsid w:val="008C6751"/>
    <w:rsid w:val="009C0217"/>
    <w:rsid w:val="00A05677"/>
    <w:rsid w:val="00AA16DD"/>
    <w:rsid w:val="00AB3D39"/>
    <w:rsid w:val="00AF27EE"/>
    <w:rsid w:val="00AF2F3C"/>
    <w:rsid w:val="00B0462E"/>
    <w:rsid w:val="00B54031"/>
    <w:rsid w:val="00B63EB7"/>
    <w:rsid w:val="00BB624C"/>
    <w:rsid w:val="00BE1A1F"/>
    <w:rsid w:val="00C05BFE"/>
    <w:rsid w:val="00C074F8"/>
    <w:rsid w:val="00C84027"/>
    <w:rsid w:val="00CB7493"/>
    <w:rsid w:val="00CF062D"/>
    <w:rsid w:val="00CF70C6"/>
    <w:rsid w:val="00D52AA6"/>
    <w:rsid w:val="00E03CD9"/>
    <w:rsid w:val="00E64E4E"/>
    <w:rsid w:val="00EE7742"/>
    <w:rsid w:val="00F12866"/>
    <w:rsid w:val="00F154AE"/>
    <w:rsid w:val="00F51D65"/>
    <w:rsid w:val="00F73315"/>
    <w:rsid w:val="00FC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6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46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46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46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46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46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46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46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336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1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40E"/>
  </w:style>
  <w:style w:type="paragraph" w:styleId="a7">
    <w:name w:val="footer"/>
    <w:basedOn w:val="a"/>
    <w:link w:val="a8"/>
    <w:uiPriority w:val="99"/>
    <w:semiHidden/>
    <w:unhideWhenUsed/>
    <w:rsid w:val="00381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1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MEV</cp:lastModifiedBy>
  <cp:revision>4</cp:revision>
  <cp:lastPrinted>2023-06-15T08:41:00Z</cp:lastPrinted>
  <dcterms:created xsi:type="dcterms:W3CDTF">2023-06-15T13:12:00Z</dcterms:created>
  <dcterms:modified xsi:type="dcterms:W3CDTF">2023-06-16T05:39:00Z</dcterms:modified>
</cp:coreProperties>
</file>